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9399F" w14:textId="42311E47" w:rsidR="008639DD" w:rsidRPr="008639DD" w:rsidRDefault="008639DD" w:rsidP="008639DD">
      <w:pPr>
        <w:pStyle w:val="Default"/>
        <w:rPr>
          <w:rFonts w:ascii="Arial" w:hAnsi="Arial" w:cs="Arial"/>
          <w:sz w:val="28"/>
          <w:szCs w:val="28"/>
        </w:rPr>
      </w:pPr>
      <w:r w:rsidRPr="008639DD">
        <w:rPr>
          <w:rFonts w:ascii="Arial" w:hAnsi="Arial" w:cs="Arial"/>
          <w:b/>
          <w:bCs/>
          <w:sz w:val="28"/>
          <w:szCs w:val="28"/>
        </w:rPr>
        <w:t xml:space="preserve">Opis predmetu zákazky </w:t>
      </w:r>
    </w:p>
    <w:p w14:paraId="4FB34750" w14:textId="77777777" w:rsid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</w:p>
    <w:p w14:paraId="28FEBEE6" w14:textId="049127DF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  <w:r w:rsidRPr="008639DD">
        <w:rPr>
          <w:rFonts w:ascii="Arial" w:hAnsi="Arial" w:cs="Arial"/>
          <w:sz w:val="23"/>
          <w:szCs w:val="23"/>
        </w:rPr>
        <w:t xml:space="preserve">1. </w:t>
      </w:r>
      <w:r w:rsidRPr="008639DD">
        <w:rPr>
          <w:rFonts w:ascii="Arial" w:hAnsi="Arial" w:cs="Arial"/>
          <w:b/>
          <w:bCs/>
          <w:sz w:val="23"/>
          <w:szCs w:val="23"/>
        </w:rPr>
        <w:t xml:space="preserve">Identifikácia verejného obstarávateľa </w:t>
      </w:r>
    </w:p>
    <w:p w14:paraId="4FEE5020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</w:p>
    <w:p w14:paraId="3FB6C243" w14:textId="77777777" w:rsidR="007224DD" w:rsidRDefault="008639DD" w:rsidP="007224DD">
      <w:pPr>
        <w:pStyle w:val="Default"/>
        <w:rPr>
          <w:rFonts w:ascii="Arial" w:hAnsi="Arial" w:cs="Arial"/>
          <w:sz w:val="23"/>
          <w:szCs w:val="23"/>
        </w:rPr>
      </w:pPr>
      <w:r w:rsidRPr="008639DD">
        <w:rPr>
          <w:rFonts w:ascii="Arial" w:hAnsi="Arial" w:cs="Arial"/>
          <w:b/>
          <w:bCs/>
          <w:sz w:val="23"/>
          <w:szCs w:val="23"/>
        </w:rPr>
        <w:t xml:space="preserve">Názov: </w:t>
      </w:r>
      <w:r w:rsidR="007224DD" w:rsidRPr="007224DD">
        <w:rPr>
          <w:rFonts w:ascii="Arial" w:hAnsi="Arial" w:cs="Arial"/>
          <w:sz w:val="23"/>
          <w:szCs w:val="23"/>
        </w:rPr>
        <w:t xml:space="preserve">Banskobystrický samosprávny kraj </w:t>
      </w:r>
    </w:p>
    <w:p w14:paraId="03101910" w14:textId="0C348343" w:rsidR="004773BB" w:rsidRDefault="008639DD" w:rsidP="007224DD">
      <w:pPr>
        <w:pStyle w:val="Default"/>
        <w:rPr>
          <w:rFonts w:ascii="Arial" w:hAnsi="Arial" w:cs="Arial"/>
          <w:sz w:val="23"/>
          <w:szCs w:val="23"/>
        </w:rPr>
      </w:pPr>
      <w:r w:rsidRPr="008639DD">
        <w:rPr>
          <w:rFonts w:ascii="Arial" w:hAnsi="Arial" w:cs="Arial"/>
          <w:b/>
          <w:bCs/>
          <w:sz w:val="23"/>
          <w:szCs w:val="23"/>
        </w:rPr>
        <w:t xml:space="preserve">Sídlo: </w:t>
      </w:r>
      <w:r w:rsidR="007224DD" w:rsidRPr="007224DD">
        <w:rPr>
          <w:rFonts w:ascii="Arial" w:hAnsi="Arial" w:cs="Arial"/>
          <w:sz w:val="23"/>
          <w:szCs w:val="23"/>
        </w:rPr>
        <w:t>Námestie SNP 23, 974 01 Banská Bystrica</w:t>
      </w:r>
      <w:r w:rsidR="004773BB" w:rsidRPr="004773BB">
        <w:rPr>
          <w:rFonts w:ascii="Arial" w:hAnsi="Arial" w:cs="Arial"/>
          <w:sz w:val="23"/>
          <w:szCs w:val="23"/>
        </w:rPr>
        <w:t xml:space="preserve"> </w:t>
      </w:r>
    </w:p>
    <w:p w14:paraId="533FDFE9" w14:textId="78DA3714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  <w:r w:rsidRPr="008639DD">
        <w:rPr>
          <w:rFonts w:ascii="Arial" w:hAnsi="Arial" w:cs="Arial"/>
          <w:b/>
          <w:bCs/>
          <w:sz w:val="23"/>
          <w:szCs w:val="23"/>
        </w:rPr>
        <w:t xml:space="preserve">Štatutárny zástupca: </w:t>
      </w:r>
      <w:r w:rsidR="007224DD" w:rsidRPr="007224DD">
        <w:rPr>
          <w:rFonts w:ascii="Arial" w:hAnsi="Arial" w:cs="Arial"/>
          <w:sz w:val="23"/>
          <w:szCs w:val="23"/>
        </w:rPr>
        <w:t>Mgr. Ondrej Lunter, predseda Banskobystrického samosprávneho kraja</w:t>
      </w:r>
    </w:p>
    <w:p w14:paraId="00FC4909" w14:textId="626B6478" w:rsid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  <w:r w:rsidRPr="008639DD">
        <w:rPr>
          <w:rFonts w:ascii="Arial" w:hAnsi="Arial" w:cs="Arial"/>
          <w:b/>
          <w:bCs/>
          <w:sz w:val="23"/>
          <w:szCs w:val="23"/>
        </w:rPr>
        <w:t xml:space="preserve">IČO: </w:t>
      </w:r>
      <w:r w:rsidR="007224DD" w:rsidRPr="007224DD">
        <w:rPr>
          <w:rFonts w:ascii="Arial" w:hAnsi="Arial" w:cs="Arial"/>
          <w:sz w:val="23"/>
          <w:szCs w:val="23"/>
        </w:rPr>
        <w:t>37 828 100</w:t>
      </w:r>
      <w:r w:rsidR="004773BB">
        <w:rPr>
          <w:rFonts w:ascii="Arial" w:hAnsi="Arial" w:cs="Arial"/>
          <w:sz w:val="23"/>
          <w:szCs w:val="23"/>
        </w:rPr>
        <w:t xml:space="preserve"> </w:t>
      </w:r>
      <w:r w:rsidRPr="008639DD">
        <w:rPr>
          <w:rFonts w:ascii="Arial" w:hAnsi="Arial" w:cs="Arial"/>
          <w:b/>
          <w:bCs/>
          <w:sz w:val="23"/>
          <w:szCs w:val="23"/>
        </w:rPr>
        <w:t xml:space="preserve">DIČ: </w:t>
      </w:r>
      <w:r w:rsidR="007224DD" w:rsidRPr="007224DD">
        <w:rPr>
          <w:rFonts w:ascii="Arial" w:hAnsi="Arial" w:cs="Arial"/>
          <w:sz w:val="23"/>
          <w:szCs w:val="23"/>
        </w:rPr>
        <w:t>2020919098</w:t>
      </w:r>
    </w:p>
    <w:p w14:paraId="4B259090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</w:p>
    <w:p w14:paraId="698A84DB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  <w:r w:rsidRPr="008639DD">
        <w:rPr>
          <w:rFonts w:ascii="Arial" w:hAnsi="Arial" w:cs="Arial"/>
          <w:sz w:val="23"/>
          <w:szCs w:val="23"/>
        </w:rPr>
        <w:t xml:space="preserve">2. </w:t>
      </w:r>
      <w:r w:rsidRPr="008639DD">
        <w:rPr>
          <w:rFonts w:ascii="Arial" w:hAnsi="Arial" w:cs="Arial"/>
          <w:b/>
          <w:bCs/>
          <w:sz w:val="23"/>
          <w:szCs w:val="23"/>
        </w:rPr>
        <w:t xml:space="preserve">Druh zákazky </w:t>
      </w:r>
    </w:p>
    <w:p w14:paraId="626CE51B" w14:textId="77E8BC64" w:rsidR="008639DD" w:rsidRDefault="004773BB" w:rsidP="008639DD">
      <w:pPr>
        <w:pStyle w:val="Defaul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Stavebné práce</w:t>
      </w:r>
    </w:p>
    <w:p w14:paraId="41F84A56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</w:p>
    <w:p w14:paraId="069E35AD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  <w:r w:rsidRPr="003906AD">
        <w:rPr>
          <w:rFonts w:ascii="Arial" w:hAnsi="Arial" w:cs="Arial"/>
          <w:sz w:val="23"/>
          <w:szCs w:val="23"/>
        </w:rPr>
        <w:t>3.</w:t>
      </w:r>
      <w:r w:rsidRPr="008639DD">
        <w:rPr>
          <w:rFonts w:ascii="Arial" w:hAnsi="Arial" w:cs="Arial"/>
          <w:b/>
          <w:bCs/>
          <w:sz w:val="23"/>
          <w:szCs w:val="23"/>
        </w:rPr>
        <w:t xml:space="preserve"> Predmet zákazky </w:t>
      </w:r>
    </w:p>
    <w:p w14:paraId="7E7DD16F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</w:p>
    <w:p w14:paraId="3BD89A3E" w14:textId="7155FD67" w:rsidR="008639DD" w:rsidRDefault="008639DD" w:rsidP="008639D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639DD">
        <w:rPr>
          <w:rFonts w:ascii="Arial" w:hAnsi="Arial" w:cs="Arial"/>
          <w:b/>
          <w:bCs/>
          <w:sz w:val="23"/>
          <w:szCs w:val="23"/>
        </w:rPr>
        <w:t>„</w:t>
      </w:r>
      <w:r w:rsidR="004E027F" w:rsidRPr="004E027F">
        <w:rPr>
          <w:rFonts w:ascii="Arial" w:hAnsi="Arial" w:cs="Arial"/>
          <w:b/>
          <w:bCs/>
          <w:sz w:val="23"/>
          <w:szCs w:val="23"/>
        </w:rPr>
        <w:t>SOŠ technická Lučenec – novostavba edukačného centra, rekonštrukcia objektu školy a spoločenského objektu</w:t>
      </w:r>
      <w:r w:rsidRPr="003645C4">
        <w:rPr>
          <w:rFonts w:ascii="Arial" w:hAnsi="Arial" w:cs="Arial"/>
          <w:b/>
          <w:bCs/>
          <w:sz w:val="23"/>
          <w:szCs w:val="23"/>
        </w:rPr>
        <w:t>“</w:t>
      </w:r>
      <w:r w:rsidRPr="008639DD">
        <w:rPr>
          <w:rFonts w:ascii="Arial" w:hAnsi="Arial" w:cs="Arial"/>
          <w:b/>
          <w:bCs/>
          <w:sz w:val="23"/>
          <w:szCs w:val="23"/>
        </w:rPr>
        <w:t xml:space="preserve"> </w:t>
      </w:r>
    </w:p>
    <w:p w14:paraId="61FF93BC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</w:p>
    <w:p w14:paraId="7FA20D5E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  <w:r w:rsidRPr="008639DD">
        <w:rPr>
          <w:rFonts w:ascii="Arial" w:hAnsi="Arial" w:cs="Arial"/>
          <w:sz w:val="23"/>
          <w:szCs w:val="23"/>
        </w:rPr>
        <w:t xml:space="preserve">4. </w:t>
      </w:r>
      <w:r w:rsidRPr="008639DD">
        <w:rPr>
          <w:rFonts w:ascii="Arial" w:hAnsi="Arial" w:cs="Arial"/>
          <w:b/>
          <w:bCs/>
          <w:sz w:val="23"/>
          <w:szCs w:val="23"/>
        </w:rPr>
        <w:t xml:space="preserve">Opis a rozsah predmetu zákazky </w:t>
      </w:r>
    </w:p>
    <w:p w14:paraId="06E7CEFB" w14:textId="77777777" w:rsidR="008639DD" w:rsidRPr="008639DD" w:rsidRDefault="008639DD" w:rsidP="008639DD">
      <w:pPr>
        <w:pStyle w:val="Default"/>
        <w:rPr>
          <w:rFonts w:ascii="Arial" w:hAnsi="Arial" w:cs="Arial"/>
          <w:sz w:val="23"/>
          <w:szCs w:val="23"/>
        </w:rPr>
      </w:pPr>
    </w:p>
    <w:p w14:paraId="05FC222B" w14:textId="77777777" w:rsidR="008639DD" w:rsidRPr="00DE4C40" w:rsidRDefault="008639DD" w:rsidP="008639DD">
      <w:pPr>
        <w:pStyle w:val="Default"/>
        <w:rPr>
          <w:rFonts w:ascii="Arial" w:hAnsi="Arial" w:cs="Arial"/>
          <w:sz w:val="23"/>
          <w:szCs w:val="23"/>
          <w:u w:val="single"/>
        </w:rPr>
      </w:pPr>
      <w:r w:rsidRPr="00DE4C40">
        <w:rPr>
          <w:rFonts w:ascii="Arial" w:hAnsi="Arial" w:cs="Arial"/>
          <w:sz w:val="23"/>
          <w:szCs w:val="23"/>
          <w:u w:val="single"/>
        </w:rPr>
        <w:t xml:space="preserve">Názov stavby: </w:t>
      </w:r>
    </w:p>
    <w:p w14:paraId="41CDF565" w14:textId="76877F95" w:rsidR="004773BB" w:rsidRDefault="004E027F" w:rsidP="008639DD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SOŠ technická Lučenec – novostavba edukačného centra, rekonštrukcia objektu školy a spoločenského objektu</w:t>
      </w:r>
    </w:p>
    <w:p w14:paraId="0F21EA96" w14:textId="77777777" w:rsidR="00E50604" w:rsidRDefault="00E50604" w:rsidP="008639DD">
      <w:pPr>
        <w:pStyle w:val="Default"/>
        <w:rPr>
          <w:rFonts w:ascii="Arial" w:hAnsi="Arial" w:cs="Arial"/>
          <w:sz w:val="23"/>
          <w:szCs w:val="23"/>
        </w:rPr>
      </w:pPr>
    </w:p>
    <w:p w14:paraId="7DEFDB1F" w14:textId="0E168EDA" w:rsidR="008639DD" w:rsidRPr="00DE4C40" w:rsidRDefault="008639DD" w:rsidP="008639DD">
      <w:pPr>
        <w:pStyle w:val="Default"/>
        <w:rPr>
          <w:rFonts w:ascii="Arial" w:hAnsi="Arial" w:cs="Arial"/>
          <w:sz w:val="23"/>
          <w:szCs w:val="23"/>
          <w:u w:val="single"/>
        </w:rPr>
      </w:pPr>
      <w:r w:rsidRPr="00DE4C40">
        <w:rPr>
          <w:rFonts w:ascii="Arial" w:hAnsi="Arial" w:cs="Arial"/>
          <w:sz w:val="23"/>
          <w:szCs w:val="23"/>
          <w:u w:val="single"/>
        </w:rPr>
        <w:t xml:space="preserve">Miesto stavby: </w:t>
      </w:r>
    </w:p>
    <w:p w14:paraId="0269C474" w14:textId="4DE57C32" w:rsidR="009B63CB" w:rsidRDefault="004E027F" w:rsidP="008639DD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 xml:space="preserve">Dukelských Hrdinov 2, 984 01 Lučenec, a to na pozemkoch registra „C“ </w:t>
      </w:r>
      <w:proofErr w:type="spellStart"/>
      <w:r w:rsidRPr="004E027F">
        <w:rPr>
          <w:rFonts w:ascii="Arial" w:hAnsi="Arial" w:cs="Arial"/>
          <w:sz w:val="23"/>
          <w:szCs w:val="23"/>
        </w:rPr>
        <w:t>parc</w:t>
      </w:r>
      <w:proofErr w:type="spellEnd"/>
      <w:r w:rsidRPr="004E027F">
        <w:rPr>
          <w:rFonts w:ascii="Arial" w:hAnsi="Arial" w:cs="Arial"/>
          <w:sz w:val="23"/>
          <w:szCs w:val="23"/>
        </w:rPr>
        <w:t>. KN-C č. 3829/1, 3829/9, 3829/10, 3859, 3863/2, zapísaných na liste vlastníctva č. 7734, vedených Okresným úradom Lučenec, katastrálny odbor</w:t>
      </w:r>
      <w:r w:rsidR="00E50604" w:rsidRPr="00E50604">
        <w:rPr>
          <w:rFonts w:ascii="Arial" w:hAnsi="Arial" w:cs="Arial"/>
          <w:sz w:val="23"/>
          <w:szCs w:val="23"/>
        </w:rPr>
        <w:t>.</w:t>
      </w:r>
    </w:p>
    <w:p w14:paraId="7D8897B0" w14:textId="77777777" w:rsidR="00E50604" w:rsidRDefault="00E50604" w:rsidP="008639DD">
      <w:pPr>
        <w:pStyle w:val="Default"/>
        <w:rPr>
          <w:rFonts w:ascii="Arial" w:hAnsi="Arial" w:cs="Arial"/>
          <w:sz w:val="23"/>
          <w:szCs w:val="23"/>
        </w:rPr>
      </w:pPr>
    </w:p>
    <w:p w14:paraId="6052A2E3" w14:textId="1D4DA51C" w:rsidR="00BB36C1" w:rsidRDefault="00BB36C1" w:rsidP="004E027F">
      <w:pPr>
        <w:pStyle w:val="Default"/>
        <w:rPr>
          <w:rFonts w:ascii="Arial" w:hAnsi="Arial" w:cs="Arial"/>
          <w:sz w:val="23"/>
          <w:szCs w:val="23"/>
        </w:rPr>
      </w:pPr>
      <w:bookmarkStart w:id="0" w:name="_Hlk167279149"/>
      <w:r w:rsidRPr="00BB36C1">
        <w:rPr>
          <w:rFonts w:ascii="Arial" w:hAnsi="Arial" w:cs="Arial"/>
          <w:sz w:val="23"/>
          <w:szCs w:val="23"/>
        </w:rPr>
        <w:t xml:space="preserve">Riešené jestvujúce objekty spolu s navrhovanou prístavbou slúžia pre potreby školy. Funkcia navrhovanej stavby je zrejmá už z názvu stavby. Súčasťou navrhovanej stavby je aj úprava priľahlej zelene. Navrhovanými úpravami sa nemení pôvodný účel objektov. Úpravy na jestvujúcich objektoch budú zvyšovať </w:t>
      </w:r>
      <w:proofErr w:type="spellStart"/>
      <w:r w:rsidRPr="00BB36C1">
        <w:rPr>
          <w:rFonts w:ascii="Arial" w:hAnsi="Arial" w:cs="Arial"/>
          <w:sz w:val="23"/>
          <w:szCs w:val="23"/>
        </w:rPr>
        <w:t>teplotechnický</w:t>
      </w:r>
      <w:proofErr w:type="spellEnd"/>
      <w:r w:rsidRPr="00BB36C1">
        <w:rPr>
          <w:rFonts w:ascii="Arial" w:hAnsi="Arial" w:cs="Arial"/>
          <w:sz w:val="23"/>
          <w:szCs w:val="23"/>
        </w:rPr>
        <w:t xml:space="preserve"> komfort budovy. Navrhovanou stavbou sa nemení priestorové usporiadanie ani funkčné využívanie územia. Stavba svojimi technickými, konštrukčno-fyzikálnymi a technologickými parametrami, dispozičným usporiadaním a výrazom vyhovovať svojmu účelu a spĺňať všetky požiadavky platnej legislatívy a STN.</w:t>
      </w:r>
    </w:p>
    <w:p w14:paraId="3FB69E84" w14:textId="150E4AA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 xml:space="preserve">Riešené objekty spolu s navrhovanou prístavbou sa nachádzajú v areáli Strednej odbornej školy technickej, ide o jestvujúcu školské zariadenia. Predmetné pozemky sú na katastri evidované ako Zastavaná plocha a nádvorie vo vlastníctve BBSK. </w:t>
      </w:r>
    </w:p>
    <w:p w14:paraId="5BEBF582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Zostáva zachovaný pôvodný urbanistický koncept územia – pôvodné budovy školského zariadenia zostávajú.</w:t>
      </w:r>
    </w:p>
    <w:p w14:paraId="063667FA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Navrhovaná prístavba sa nachádza v areáli SOŠ Technickej v Lučenci.</w:t>
      </w:r>
    </w:p>
    <w:p w14:paraId="703F9CF0" w14:textId="02439A92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Navrhované stavebné úpravy sa týkajú jest. objektov budovy školy a budovy spoločenského objektu v areáli SOŠ Technickej v Lučenci. Predmetom úprav je:</w:t>
      </w:r>
    </w:p>
    <w:p w14:paraId="53748917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- fasáda objektov SO101 a 102</w:t>
      </w:r>
    </w:p>
    <w:p w14:paraId="38BC1265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- strecha objektu SO101</w:t>
      </w:r>
    </w:p>
    <w:p w14:paraId="221A7AC5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- vnútorná elektroinštalácia, osvetlenie a bleskozvod objektov SO101 a 102</w:t>
      </w:r>
    </w:p>
    <w:p w14:paraId="1843A4D3" w14:textId="38B4E2F6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- stavebné úpravy v interiéri objektov SO101 a 102 (</w:t>
      </w:r>
      <w:proofErr w:type="spellStart"/>
      <w:r w:rsidRPr="004E027F">
        <w:rPr>
          <w:rFonts w:ascii="Arial" w:hAnsi="Arial" w:cs="Arial"/>
          <w:sz w:val="23"/>
          <w:szCs w:val="23"/>
        </w:rPr>
        <w:t>vysprávky</w:t>
      </w:r>
      <w:proofErr w:type="spellEnd"/>
      <w:r w:rsidRPr="004E027F">
        <w:rPr>
          <w:rFonts w:ascii="Arial" w:hAnsi="Arial" w:cs="Arial"/>
          <w:sz w:val="23"/>
          <w:szCs w:val="23"/>
        </w:rPr>
        <w:t xml:space="preserve"> omietok, výmena podlahy, nové </w:t>
      </w:r>
      <w:proofErr w:type="spellStart"/>
      <w:r w:rsidRPr="004E027F">
        <w:rPr>
          <w:rFonts w:ascii="Arial" w:hAnsi="Arial" w:cs="Arial"/>
          <w:sz w:val="23"/>
          <w:szCs w:val="23"/>
        </w:rPr>
        <w:t>podhľadové</w:t>
      </w:r>
      <w:proofErr w:type="spellEnd"/>
      <w:r w:rsidRPr="004E027F">
        <w:rPr>
          <w:rFonts w:ascii="Arial" w:hAnsi="Arial" w:cs="Arial"/>
          <w:sz w:val="23"/>
          <w:szCs w:val="23"/>
        </w:rPr>
        <w:t xml:space="preserve"> konštrukcie a pod....)</w:t>
      </w:r>
    </w:p>
    <w:p w14:paraId="7616EC6B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 xml:space="preserve">V záujmovom území stavby sa nenachádzajú žiadne chránené územia ani pamiatkové rezervácie. Pri uskutočňovaní stavby je nutné rešpektovať podmienky určené v platných </w:t>
      </w:r>
      <w:r w:rsidRPr="004E027F">
        <w:rPr>
          <w:rFonts w:ascii="Arial" w:hAnsi="Arial" w:cs="Arial"/>
          <w:sz w:val="23"/>
          <w:szCs w:val="23"/>
        </w:rPr>
        <w:lastRenderedPageBreak/>
        <w:t xml:space="preserve">predpisoch a normách na zabezpečenie ochrany verejného dopravného a technického vybavenia územia. </w:t>
      </w:r>
    </w:p>
    <w:p w14:paraId="6878C6CB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 xml:space="preserve">Navrhovaná prístavba Edukačného centra je založená na základovej doske na penovom skle, navrhnutá je plochá zelená strecha s extenzívnou zeleňou. Objekt je navrhnutý ako </w:t>
      </w:r>
      <w:proofErr w:type="spellStart"/>
      <w:r w:rsidRPr="004E027F">
        <w:rPr>
          <w:rFonts w:ascii="Arial" w:hAnsi="Arial" w:cs="Arial"/>
          <w:sz w:val="23"/>
          <w:szCs w:val="23"/>
        </w:rPr>
        <w:t>drevokonštrukcia</w:t>
      </w:r>
      <w:proofErr w:type="spellEnd"/>
      <w:r w:rsidRPr="004E027F">
        <w:rPr>
          <w:rFonts w:ascii="Arial" w:hAnsi="Arial" w:cs="Arial"/>
          <w:sz w:val="23"/>
          <w:szCs w:val="23"/>
        </w:rPr>
        <w:t>.</w:t>
      </w:r>
    </w:p>
    <w:p w14:paraId="45CB5707" w14:textId="7C6F58BF" w:rsid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Celá budova je navrhnutá do energetickej kategórie A0, vnútorné prostredie je vetrané nútene, pomocou rekuperácie vzduchu, výmenu vzduchu ako aj vykurovanie je riadené systémom merania a regulácie.</w:t>
      </w:r>
    </w:p>
    <w:p w14:paraId="551733CC" w14:textId="77777777" w:rsid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</w:p>
    <w:p w14:paraId="0C3C0F48" w14:textId="77777777" w:rsidR="00BB36C1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 xml:space="preserve">Navrhované a riešené stavebné objekty: </w:t>
      </w:r>
    </w:p>
    <w:p w14:paraId="184BD7A5" w14:textId="0E73D196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SO 101 – Hlavný objekt školy</w:t>
      </w:r>
    </w:p>
    <w:p w14:paraId="309C86D8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SO 102 – Spoločenský objekt</w:t>
      </w:r>
    </w:p>
    <w:p w14:paraId="7FEDE541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SO 103 – Edukačné centrum – prístavba k spoločenskému objektu</w:t>
      </w:r>
    </w:p>
    <w:p w14:paraId="6480F82E" w14:textId="77777777" w:rsidR="004E027F" w:rsidRPr="004E027F" w:rsidRDefault="004E027F" w:rsidP="004E027F">
      <w:pPr>
        <w:pStyle w:val="Default"/>
        <w:rPr>
          <w:rFonts w:ascii="Arial" w:hAnsi="Arial" w:cs="Arial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SO 104 – Dažďová kanalizácia</w:t>
      </w:r>
    </w:p>
    <w:p w14:paraId="708DC0D5" w14:textId="42BDE96F" w:rsidR="00121738" w:rsidRDefault="004E027F" w:rsidP="004E027F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4E027F">
        <w:rPr>
          <w:rFonts w:ascii="Arial" w:hAnsi="Arial" w:cs="Arial"/>
          <w:sz w:val="23"/>
          <w:szCs w:val="23"/>
        </w:rPr>
        <w:t>SO 105 – Požiarna nádrž</w:t>
      </w:r>
    </w:p>
    <w:p w14:paraId="0F0D30A5" w14:textId="77777777" w:rsidR="00AE76CD" w:rsidRDefault="00AE76CD" w:rsidP="008639DD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46C2A114" w14:textId="191CB81B" w:rsidR="008639DD" w:rsidRDefault="008639DD" w:rsidP="008639DD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8639DD">
        <w:rPr>
          <w:rFonts w:ascii="Arial" w:hAnsi="Arial" w:cs="Arial"/>
          <w:color w:val="auto"/>
          <w:sz w:val="23"/>
          <w:szCs w:val="23"/>
        </w:rPr>
        <w:t xml:space="preserve">Doba na </w:t>
      </w:r>
      <w:r w:rsidR="00AE76CD">
        <w:rPr>
          <w:rFonts w:ascii="Arial" w:hAnsi="Arial" w:cs="Arial"/>
          <w:color w:val="auto"/>
          <w:sz w:val="23"/>
          <w:szCs w:val="23"/>
        </w:rPr>
        <w:t>realizáciu</w:t>
      </w:r>
      <w:r w:rsidR="0087040B">
        <w:rPr>
          <w:rFonts w:ascii="Arial" w:hAnsi="Arial" w:cs="Arial"/>
          <w:color w:val="auto"/>
          <w:sz w:val="23"/>
          <w:szCs w:val="23"/>
        </w:rPr>
        <w:t>:</w:t>
      </w:r>
    </w:p>
    <w:p w14:paraId="5E9C31B4" w14:textId="5397827D" w:rsidR="008639DD" w:rsidRPr="008639DD" w:rsidRDefault="004773BB" w:rsidP="008639DD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4773BB">
        <w:rPr>
          <w:rFonts w:ascii="Arial" w:hAnsi="Arial" w:cs="Arial"/>
          <w:color w:val="auto"/>
          <w:sz w:val="23"/>
          <w:szCs w:val="23"/>
        </w:rPr>
        <w:t>Odovzdanie Diela Objednávateľovi</w:t>
      </w:r>
      <w:r w:rsidRPr="004773BB">
        <w:t xml:space="preserve"> </w:t>
      </w:r>
      <w:r w:rsidRPr="004773BB">
        <w:rPr>
          <w:rFonts w:ascii="Arial" w:hAnsi="Arial" w:cs="Arial"/>
          <w:color w:val="auto"/>
          <w:sz w:val="23"/>
          <w:szCs w:val="23"/>
        </w:rPr>
        <w:t xml:space="preserve">do </w:t>
      </w:r>
      <w:r w:rsidR="004E027F">
        <w:rPr>
          <w:rFonts w:ascii="Arial" w:hAnsi="Arial" w:cs="Arial"/>
          <w:color w:val="auto"/>
          <w:sz w:val="23"/>
          <w:szCs w:val="23"/>
        </w:rPr>
        <w:t>30</w:t>
      </w:r>
      <w:r w:rsidRPr="004773BB">
        <w:rPr>
          <w:rFonts w:ascii="Arial" w:hAnsi="Arial" w:cs="Arial"/>
          <w:color w:val="auto"/>
          <w:sz w:val="23"/>
          <w:szCs w:val="23"/>
        </w:rPr>
        <w:t>0 dní odo Dňa účinnosti</w:t>
      </w:r>
      <w:r>
        <w:rPr>
          <w:rFonts w:ascii="Arial" w:hAnsi="Arial" w:cs="Arial"/>
          <w:color w:val="auto"/>
          <w:sz w:val="23"/>
          <w:szCs w:val="23"/>
        </w:rPr>
        <w:t xml:space="preserve"> Zmluvy o dielo</w:t>
      </w:r>
      <w:bookmarkEnd w:id="0"/>
    </w:p>
    <w:sectPr w:rsidR="008639DD" w:rsidRPr="008639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0826D" w14:textId="77777777" w:rsidR="008639DD" w:rsidRDefault="008639DD" w:rsidP="008639DD">
      <w:pPr>
        <w:spacing w:after="0" w:line="240" w:lineRule="auto"/>
      </w:pPr>
      <w:r>
        <w:separator/>
      </w:r>
    </w:p>
  </w:endnote>
  <w:endnote w:type="continuationSeparator" w:id="0">
    <w:p w14:paraId="7F86F00E" w14:textId="77777777" w:rsidR="008639DD" w:rsidRDefault="008639DD" w:rsidP="0086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4023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91229" w14:textId="55359283" w:rsidR="008639DD" w:rsidRDefault="008639D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2AFD37" w14:textId="76C1E892" w:rsidR="008639DD" w:rsidRPr="008639DD" w:rsidRDefault="008639DD" w:rsidP="008639DD">
    <w:pPr>
      <w:pStyle w:val="Pta"/>
    </w:pPr>
    <w:r>
      <w:t>Banskobystrický samosprávny kraj, Nám. SNP 23, 974 01 Banská Bystrica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B8D69" w14:textId="77777777" w:rsidR="008639DD" w:rsidRDefault="008639DD" w:rsidP="008639DD">
      <w:pPr>
        <w:spacing w:after="0" w:line="240" w:lineRule="auto"/>
      </w:pPr>
      <w:r>
        <w:separator/>
      </w:r>
    </w:p>
  </w:footnote>
  <w:footnote w:type="continuationSeparator" w:id="0">
    <w:p w14:paraId="6A5C9E8F" w14:textId="77777777" w:rsidR="008639DD" w:rsidRDefault="008639DD" w:rsidP="00863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0277" w14:textId="7E67BA0E" w:rsidR="00A34CB2" w:rsidRPr="004E027F" w:rsidRDefault="004E027F" w:rsidP="004E027F">
    <w:pPr>
      <w:pStyle w:val="Hlavika"/>
    </w:pPr>
    <w:r w:rsidRPr="004E027F">
      <w:rPr>
        <w:rFonts w:ascii="Arial" w:hAnsi="Arial" w:cs="Arial"/>
        <w:b/>
        <w:bCs/>
        <w:sz w:val="18"/>
        <w:szCs w:val="18"/>
      </w:rPr>
      <w:t>SOŠ technická Lučenec – novostavba edukačného centra, rekonštrukcia objektu školy a spoločenského objektu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524"/>
    <w:multiLevelType w:val="hybridMultilevel"/>
    <w:tmpl w:val="54F6B438"/>
    <w:lvl w:ilvl="0" w:tplc="D8C2446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51B0D"/>
    <w:multiLevelType w:val="hybridMultilevel"/>
    <w:tmpl w:val="FA3455CA"/>
    <w:lvl w:ilvl="0" w:tplc="286E467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046138">
    <w:abstractNumId w:val="1"/>
  </w:num>
  <w:num w:numId="2" w16cid:durableId="43871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9DD"/>
    <w:rsid w:val="00000F45"/>
    <w:rsid w:val="00011A7D"/>
    <w:rsid w:val="0003099A"/>
    <w:rsid w:val="00050EF7"/>
    <w:rsid w:val="000B46C4"/>
    <w:rsid w:val="00121738"/>
    <w:rsid w:val="001314D1"/>
    <w:rsid w:val="00151BD1"/>
    <w:rsid w:val="001603DF"/>
    <w:rsid w:val="0018642C"/>
    <w:rsid w:val="00187F00"/>
    <w:rsid w:val="001D19AA"/>
    <w:rsid w:val="002113E4"/>
    <w:rsid w:val="003645C4"/>
    <w:rsid w:val="003906AD"/>
    <w:rsid w:val="003F139A"/>
    <w:rsid w:val="00466B31"/>
    <w:rsid w:val="004773BB"/>
    <w:rsid w:val="004869E8"/>
    <w:rsid w:val="004B166A"/>
    <w:rsid w:val="004D130E"/>
    <w:rsid w:val="004E027F"/>
    <w:rsid w:val="0058357A"/>
    <w:rsid w:val="00591F4B"/>
    <w:rsid w:val="005A1B46"/>
    <w:rsid w:val="005B7C23"/>
    <w:rsid w:val="005F33BF"/>
    <w:rsid w:val="006813EF"/>
    <w:rsid w:val="006D64E9"/>
    <w:rsid w:val="006E35BF"/>
    <w:rsid w:val="007160CD"/>
    <w:rsid w:val="007224DD"/>
    <w:rsid w:val="00751786"/>
    <w:rsid w:val="007739B4"/>
    <w:rsid w:val="007F00C7"/>
    <w:rsid w:val="00856367"/>
    <w:rsid w:val="008639DD"/>
    <w:rsid w:val="0087040B"/>
    <w:rsid w:val="008E36C2"/>
    <w:rsid w:val="00977AC1"/>
    <w:rsid w:val="009B63CB"/>
    <w:rsid w:val="00A0020B"/>
    <w:rsid w:val="00A02295"/>
    <w:rsid w:val="00A34CB2"/>
    <w:rsid w:val="00A445EA"/>
    <w:rsid w:val="00A67FB0"/>
    <w:rsid w:val="00AE4A54"/>
    <w:rsid w:val="00AE76CD"/>
    <w:rsid w:val="00BA5EB9"/>
    <w:rsid w:val="00BB36C1"/>
    <w:rsid w:val="00CC6262"/>
    <w:rsid w:val="00CD3813"/>
    <w:rsid w:val="00D3604F"/>
    <w:rsid w:val="00DE4C40"/>
    <w:rsid w:val="00E50604"/>
    <w:rsid w:val="00E91A7C"/>
    <w:rsid w:val="00E958FD"/>
    <w:rsid w:val="00F004F5"/>
    <w:rsid w:val="00F36EFC"/>
    <w:rsid w:val="00F93622"/>
    <w:rsid w:val="00FE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57E07"/>
  <w15:chartTrackingRefBased/>
  <w15:docId w15:val="{8FDA42D5-65BE-4FAE-98EA-86D0F9D2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639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639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639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639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639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639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639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639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639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639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639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639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639D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639D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639D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639D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639D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639D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639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639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639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639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639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639D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639D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639D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639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639D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639D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63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86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39DD"/>
  </w:style>
  <w:style w:type="paragraph" w:styleId="Pta">
    <w:name w:val="footer"/>
    <w:basedOn w:val="Normlny"/>
    <w:link w:val="PtaChar"/>
    <w:uiPriority w:val="99"/>
    <w:unhideWhenUsed/>
    <w:rsid w:val="0086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889037-BCCC-4DB1-AC19-9A9475AF9D16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2.xml><?xml version="1.0" encoding="utf-8"?>
<ds:datastoreItem xmlns:ds="http://schemas.openxmlformats.org/officeDocument/2006/customXml" ds:itemID="{5468E65D-BAD4-4A05-A7B3-30680D5F4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B1397-61E8-422B-961D-2043904AF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Oravcová Nora</dc:creator>
  <cp:keywords/>
  <dc:description/>
  <cp:lastModifiedBy>Juríčková Marta</cp:lastModifiedBy>
  <cp:revision>2</cp:revision>
  <dcterms:created xsi:type="dcterms:W3CDTF">2025-06-24T08:30:00Z</dcterms:created>
  <dcterms:modified xsi:type="dcterms:W3CDTF">2025-06-24T08:30:00Z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